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582" w:rsidRDefault="00631582" w:rsidP="00631582">
      <w:pPr>
        <w:spacing w:after="0" w:line="256" w:lineRule="auto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Załącznik nr </w:t>
      </w:r>
      <w:r>
        <w:rPr>
          <w:b/>
          <w:bCs/>
          <w:sz w:val="20"/>
        </w:rPr>
        <w:t>1</w:t>
      </w:r>
      <w:r w:rsidR="008A4F32">
        <w:rPr>
          <w:b/>
          <w:bCs/>
          <w:sz w:val="20"/>
        </w:rPr>
        <w:t>6</w:t>
      </w:r>
    </w:p>
    <w:p w:rsidR="00631582" w:rsidRDefault="00631582" w:rsidP="00631582">
      <w:pPr>
        <w:spacing w:after="0"/>
        <w:jc w:val="right"/>
        <w:rPr>
          <w:rFonts w:ascii="Calibri" w:hAnsi="Calibri" w:cs="Calibri"/>
          <w:sz w:val="20"/>
        </w:rPr>
      </w:pPr>
      <w:r>
        <w:rPr>
          <w:rFonts w:ascii="Calibri" w:hAnsi="Calibri"/>
          <w:sz w:val="20"/>
        </w:rPr>
        <w:t>do Protokołu z 21 posiedzenia Polsko-Ukraińskiej Komisji do Spraw Wód Granicznych</w:t>
      </w:r>
    </w:p>
    <w:p w:rsidR="00631582" w:rsidRDefault="00631582" w:rsidP="008A4F32">
      <w:pPr>
        <w:pStyle w:val="NormalnyWeb"/>
        <w:shd w:val="clear" w:color="auto" w:fill="FFFFFF"/>
        <w:spacing w:before="0" w:beforeAutospacing="0" w:after="240" w:afterAutospacing="0"/>
        <w:ind w:left="5664"/>
        <w:jc w:val="right"/>
        <w:textAlignment w:val="baseline"/>
        <w:rPr>
          <w:rFonts w:ascii="Calibri" w:hAnsi="Calibri" w:cs="Calibri"/>
          <w:b/>
        </w:rPr>
      </w:pPr>
      <w:r>
        <w:rPr>
          <w:rFonts w:ascii="Calibri" w:eastAsia="Calibri" w:hAnsi="Calibri"/>
          <w:bCs/>
          <w:sz w:val="20"/>
        </w:rPr>
        <w:t>online, 26- 27 października 2023 r.</w:t>
      </w:r>
    </w:p>
    <w:p w:rsidR="00631582" w:rsidRPr="00631582" w:rsidRDefault="00631582" w:rsidP="008A4F32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b/>
          <w:color w:val="1B1B1B"/>
        </w:rPr>
      </w:pPr>
      <w:r w:rsidRPr="00631582">
        <w:rPr>
          <w:rFonts w:ascii="Calibri" w:hAnsi="Calibri" w:cs="Calibri"/>
          <w:b/>
        </w:rPr>
        <w:t>Wymiana informacji Stron na temat działań wrażających Dyrektywę azotanową 91/676/UE</w:t>
      </w:r>
    </w:p>
    <w:p w:rsidR="00631582" w:rsidRPr="007A22D6" w:rsidRDefault="00631582" w:rsidP="008A4F32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b/>
          <w:color w:val="1B1B1B"/>
        </w:rPr>
      </w:pPr>
      <w:r w:rsidRPr="007A22D6">
        <w:rPr>
          <w:rFonts w:asciiTheme="minorHAnsi" w:hAnsiTheme="minorHAnsi" w:cstheme="minorHAnsi"/>
          <w:b/>
          <w:color w:val="1B1B1B"/>
        </w:rPr>
        <w:t>Informacja Strony polskiej:</w:t>
      </w:r>
    </w:p>
    <w:p w:rsidR="00631582" w:rsidRPr="00631582" w:rsidRDefault="00631582" w:rsidP="00631582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631582">
        <w:rPr>
          <w:rFonts w:asciiTheme="minorHAnsi" w:hAnsiTheme="minorHAnsi" w:cstheme="minorHAnsi"/>
          <w:color w:val="1B1B1B"/>
        </w:rPr>
        <w:t>Dyrektywa Rady (91/676/EWG) z dnia 12 grudnia 1991 r. dotycząca ochrony wód przed zanieczyszczeniami powodowanymi przez azotany pochodzenia rolni</w:t>
      </w:r>
      <w:r>
        <w:rPr>
          <w:rFonts w:asciiTheme="minorHAnsi" w:hAnsiTheme="minorHAnsi" w:cstheme="minorHAnsi"/>
          <w:color w:val="1B1B1B"/>
        </w:rPr>
        <w:t xml:space="preserve">czego, tzw. dyrektywa azotanowa, powstała z uwagi na </w:t>
      </w:r>
      <w:r w:rsidRPr="00631582">
        <w:rPr>
          <w:rFonts w:asciiTheme="minorHAnsi" w:hAnsiTheme="minorHAnsi" w:cstheme="minorHAnsi"/>
          <w:color w:val="1B1B1B"/>
        </w:rPr>
        <w:t xml:space="preserve">problem wzrastającej zawartości azotanów w wodach </w:t>
      </w:r>
      <w:r>
        <w:rPr>
          <w:rFonts w:asciiTheme="minorHAnsi" w:hAnsiTheme="minorHAnsi" w:cstheme="minorHAnsi"/>
          <w:color w:val="1B1B1B"/>
        </w:rPr>
        <w:t>całej Unii Europejskiej. Dyrektywa nakłada na państwa c</w:t>
      </w:r>
      <w:r w:rsidRPr="00631582">
        <w:rPr>
          <w:rFonts w:asciiTheme="minorHAnsi" w:hAnsiTheme="minorHAnsi" w:cstheme="minorHAnsi"/>
          <w:color w:val="1B1B1B"/>
        </w:rPr>
        <w:t>złonkowskie obowiązek wyznaczenia wód wrażliwych na zanieczyszczenie związkami azotu ze źródeł rolniczych oraz obszary szczególnie narażone, z których odpływ azotu ze źródeł rolniczych do tych wód należy ograniczyć. Konieczne jest także ustanowienie zbioru zaleceń dobrej praktyki r</w:t>
      </w:r>
      <w:r>
        <w:rPr>
          <w:rFonts w:asciiTheme="minorHAnsi" w:hAnsiTheme="minorHAnsi" w:cstheme="minorHAnsi"/>
          <w:color w:val="1B1B1B"/>
        </w:rPr>
        <w:t>olniczej oraz programu działań</w:t>
      </w:r>
      <w:r w:rsidRPr="00631582">
        <w:rPr>
          <w:rFonts w:asciiTheme="minorHAnsi" w:hAnsiTheme="minorHAnsi" w:cstheme="minorHAnsi"/>
          <w:color w:val="1B1B1B"/>
        </w:rPr>
        <w:t>.</w:t>
      </w:r>
    </w:p>
    <w:p w:rsidR="008A4F32" w:rsidRDefault="00631582" w:rsidP="008A4F32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631582">
        <w:rPr>
          <w:rFonts w:asciiTheme="minorHAnsi" w:hAnsiTheme="minorHAnsi" w:cstheme="minorHAnsi"/>
          <w:color w:val="1B1B1B"/>
        </w:rPr>
        <w:t>Dyrektywę azotanową do polskiego porządku prawnego transponuje </w:t>
      </w:r>
      <w:hyperlink r:id="rId5" w:history="1">
        <w:r w:rsidRPr="00631582">
          <w:rPr>
            <w:rStyle w:val="Hipercze"/>
            <w:rFonts w:asciiTheme="minorHAnsi" w:hAnsiTheme="minorHAnsi" w:cstheme="minorHAnsi"/>
            <w:color w:val="auto"/>
            <w:u w:val="none"/>
          </w:rPr>
          <w:t>ustawa z dnia 20</w:t>
        </w:r>
        <w:r>
          <w:rPr>
            <w:rStyle w:val="Hipercze"/>
            <w:rFonts w:asciiTheme="minorHAnsi" w:hAnsiTheme="minorHAnsi" w:cstheme="minorHAnsi"/>
            <w:color w:val="auto"/>
            <w:u w:val="none"/>
          </w:rPr>
          <w:t xml:space="preserve"> lipca 2017 r. Prawo wodne</w:t>
        </w:r>
      </w:hyperlink>
      <w:r w:rsidRPr="00631582">
        <w:rPr>
          <w:rFonts w:asciiTheme="minorHAnsi" w:hAnsiTheme="minorHAnsi" w:cstheme="minorHAnsi"/>
        </w:rPr>
        <w:t xml:space="preserve">. </w:t>
      </w:r>
      <w:r w:rsidRPr="00631582">
        <w:rPr>
          <w:rFonts w:asciiTheme="minorHAnsi" w:hAnsiTheme="minorHAnsi" w:cstheme="minorHAnsi"/>
          <w:color w:val="1B1B1B"/>
        </w:rPr>
        <w:t>Na podstawie art. 106 tejże ustawy minister właściwy do spraw gospodarki wodnej w uzgodnieniu z ministrem właściwym do spraw rolnictwa opracowuje program działań, którego podstawowym celem jest zmniejszanie zanieczyszczenia wód spowodowanego nawożeniem użytków rolnych nawozami naturalnymi (gnojówka, gnojowica, obornik) zawierającymi związki azotu oraz zapobieganie dalszym</w:t>
      </w:r>
      <w:r w:rsidR="008A4F32">
        <w:rPr>
          <w:rFonts w:asciiTheme="minorHAnsi" w:hAnsiTheme="minorHAnsi" w:cstheme="minorHAnsi"/>
          <w:color w:val="1B1B1B"/>
        </w:rPr>
        <w:t xml:space="preserve"> zanieczyszczeniom tego rodzaju. </w:t>
      </w:r>
    </w:p>
    <w:p w:rsidR="008A4F32" w:rsidRPr="008A4F32" w:rsidRDefault="008A4F32" w:rsidP="008A4F32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Cs/>
          <w:color w:val="1B1B1B"/>
          <w:shd w:val="clear" w:color="auto" w:fill="FFFFFF"/>
        </w:rPr>
      </w:pPr>
      <w:r>
        <w:rPr>
          <w:rFonts w:asciiTheme="minorHAnsi" w:hAnsiTheme="minorHAnsi" w:cstheme="minorHAnsi"/>
          <w:color w:val="1B1B1B"/>
        </w:rPr>
        <w:t xml:space="preserve">W ww. ministerstwach opracowano dokument pn.: </w:t>
      </w:r>
      <w:r w:rsidRPr="008A4F32">
        <w:rPr>
          <w:rFonts w:asciiTheme="minorHAnsi" w:hAnsiTheme="minorHAnsi" w:cstheme="minorHAnsi"/>
          <w:bCs/>
          <w:i/>
          <w:color w:val="1B1B1B"/>
          <w:shd w:val="clear" w:color="auto" w:fill="FFFFFF"/>
        </w:rPr>
        <w:t>„Program działań mających na celu zmniejszenie zanieczyszczenia wód azotanami pochodzącymi ze źródeł rolniczych oraz zapobieganie dalszemu zanieczyszczeniu”</w:t>
      </w:r>
      <w:r>
        <w:rPr>
          <w:rFonts w:asciiTheme="minorHAnsi" w:hAnsiTheme="minorHAnsi" w:cstheme="minorHAnsi"/>
          <w:bCs/>
          <w:i/>
          <w:color w:val="1B1B1B"/>
          <w:shd w:val="clear" w:color="auto" w:fill="FFFFFF"/>
        </w:rPr>
        <w:t xml:space="preserve">. </w:t>
      </w:r>
      <w:r>
        <w:rPr>
          <w:rFonts w:asciiTheme="minorHAnsi" w:hAnsiTheme="minorHAnsi" w:cstheme="minorHAnsi"/>
          <w:bCs/>
          <w:color w:val="1B1B1B"/>
          <w:shd w:val="clear" w:color="auto" w:fill="FFFFFF"/>
        </w:rPr>
        <w:t xml:space="preserve">Najważniejszymi działaniami określonymi </w:t>
      </w:r>
      <w:r>
        <w:rPr>
          <w:rFonts w:asciiTheme="minorHAnsi" w:hAnsiTheme="minorHAnsi" w:cstheme="minorHAnsi"/>
          <w:bCs/>
          <w:color w:val="1B1B1B"/>
          <w:shd w:val="clear" w:color="auto" w:fill="FFFFFF"/>
        </w:rPr>
        <w:br/>
        <w:t>w Programie są:</w:t>
      </w:r>
    </w:p>
    <w:p w:rsidR="008A4F32" w:rsidRPr="008A4F32" w:rsidRDefault="008A4F32" w:rsidP="008A4F32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1B1B1B"/>
        </w:rPr>
      </w:pPr>
      <w:r w:rsidRPr="008A4F32">
        <w:rPr>
          <w:rFonts w:asciiTheme="minorHAnsi" w:hAnsiTheme="minorHAnsi" w:cstheme="minorHAnsi"/>
          <w:color w:val="1B1B1B"/>
        </w:rPr>
        <w:t>ustalenie warunków rolniczego wykorzystania nawozów azotowych w pobliżu wód, na terenach o dużym nachyleniu, a także na glebach zamarzniętych, zalanyc</w:t>
      </w:r>
      <w:r>
        <w:rPr>
          <w:rFonts w:asciiTheme="minorHAnsi" w:hAnsiTheme="minorHAnsi" w:cstheme="minorHAnsi"/>
          <w:color w:val="1B1B1B"/>
        </w:rPr>
        <w:t>h wodą lub przykrytych śniegiem;</w:t>
      </w:r>
    </w:p>
    <w:p w:rsidR="008A4F32" w:rsidRPr="008A4F32" w:rsidRDefault="008A4F32" w:rsidP="008A4F32">
      <w:pPr>
        <w:pStyle w:val="NormalnyWeb"/>
        <w:numPr>
          <w:ilvl w:val="0"/>
          <w:numId w:val="1"/>
        </w:numPr>
        <w:jc w:val="both"/>
        <w:rPr>
          <w:rFonts w:asciiTheme="minorHAnsi" w:hAnsiTheme="minorHAnsi" w:cstheme="minorHAnsi"/>
          <w:color w:val="1B1B1B"/>
        </w:rPr>
      </w:pPr>
      <w:r w:rsidRPr="008A4F32">
        <w:rPr>
          <w:rFonts w:asciiTheme="minorHAnsi" w:hAnsiTheme="minorHAnsi" w:cstheme="minorHAnsi"/>
          <w:color w:val="1B1B1B"/>
        </w:rPr>
        <w:t>wprowadzenie terminów, w których dozwolone jest rolnicze wykorzystanie na</w:t>
      </w:r>
      <w:r>
        <w:rPr>
          <w:rFonts w:asciiTheme="minorHAnsi" w:hAnsiTheme="minorHAnsi" w:cstheme="minorHAnsi"/>
          <w:color w:val="1B1B1B"/>
        </w:rPr>
        <w:t>wozów;</w:t>
      </w:r>
    </w:p>
    <w:p w:rsidR="008A4F32" w:rsidRPr="008A4F32" w:rsidRDefault="008A4F32" w:rsidP="008A4F32">
      <w:pPr>
        <w:pStyle w:val="NormalnyWeb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color w:val="1B1B1B"/>
        </w:rPr>
      </w:pPr>
      <w:r w:rsidRPr="008A4F32">
        <w:rPr>
          <w:rFonts w:asciiTheme="minorHAnsi" w:hAnsiTheme="minorHAnsi" w:cstheme="minorHAnsi"/>
          <w:color w:val="1B1B1B"/>
        </w:rPr>
        <w:t>określenie warunków przechowywania nawozów naturalnyc</w:t>
      </w:r>
      <w:r>
        <w:rPr>
          <w:rFonts w:asciiTheme="minorHAnsi" w:hAnsiTheme="minorHAnsi" w:cstheme="minorHAnsi"/>
          <w:color w:val="1B1B1B"/>
        </w:rPr>
        <w:t>h oraz postępowania z odciekami;</w:t>
      </w:r>
    </w:p>
    <w:p w:rsidR="008A4F32" w:rsidRPr="008A4F32" w:rsidRDefault="008A4F32" w:rsidP="008A4F32">
      <w:pPr>
        <w:pStyle w:val="NormalnyWeb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color w:val="1B1B1B"/>
        </w:rPr>
      </w:pPr>
      <w:r w:rsidRPr="008A4F32">
        <w:rPr>
          <w:rFonts w:asciiTheme="minorHAnsi" w:hAnsiTheme="minorHAnsi" w:cstheme="minorHAnsi"/>
          <w:color w:val="1B1B1B"/>
        </w:rPr>
        <w:t>ustalenie sposobu obliczania rocznej dawki nawozów naturalnych zawieraj</w:t>
      </w:r>
      <w:r>
        <w:rPr>
          <w:rFonts w:asciiTheme="minorHAnsi" w:hAnsiTheme="minorHAnsi" w:cstheme="minorHAnsi"/>
          <w:color w:val="1B1B1B"/>
        </w:rPr>
        <w:t>ącej nie więcej niż 170 kg N/ha;</w:t>
      </w:r>
    </w:p>
    <w:p w:rsidR="008A4F32" w:rsidRDefault="008A4F32" w:rsidP="008A4F32">
      <w:pPr>
        <w:pStyle w:val="NormalnyWeb"/>
        <w:numPr>
          <w:ilvl w:val="0"/>
          <w:numId w:val="1"/>
        </w:numPr>
        <w:spacing w:before="0" w:beforeAutospacing="0" w:after="120" w:afterAutospacing="0"/>
        <w:jc w:val="both"/>
        <w:rPr>
          <w:rFonts w:asciiTheme="minorHAnsi" w:hAnsiTheme="minorHAnsi" w:cstheme="minorHAnsi"/>
          <w:color w:val="1B1B1B"/>
        </w:rPr>
      </w:pPr>
      <w:r w:rsidRPr="008A4F32">
        <w:rPr>
          <w:rFonts w:asciiTheme="minorHAnsi" w:hAnsiTheme="minorHAnsi" w:cstheme="minorHAnsi"/>
          <w:color w:val="1B1B1B"/>
        </w:rPr>
        <w:t>określenie zasad prawidłowego planowania nawożenia azotem poszczególnych roślin.</w:t>
      </w:r>
    </w:p>
    <w:p w:rsidR="008A4F32" w:rsidRPr="008A4F32" w:rsidRDefault="008A4F32" w:rsidP="00D9405E">
      <w:pPr>
        <w:pStyle w:val="NormalnyWeb"/>
        <w:spacing w:before="0" w:beforeAutospacing="0" w:after="120" w:afterAutospacing="0"/>
        <w:jc w:val="both"/>
        <w:rPr>
          <w:rFonts w:asciiTheme="minorHAnsi" w:hAnsiTheme="minorHAnsi" w:cstheme="minorHAnsi"/>
          <w:color w:val="1B1B1B"/>
        </w:rPr>
      </w:pPr>
      <w:r w:rsidRPr="008A4F32">
        <w:rPr>
          <w:rFonts w:asciiTheme="minorHAnsi" w:hAnsiTheme="minorHAnsi" w:cstheme="minorHAnsi"/>
          <w:color w:val="1B1B1B"/>
          <w:shd w:val="clear" w:color="auto" w:fill="FFFFFF"/>
        </w:rPr>
        <w:t>W związku z wdrożeniem Programu przewiduje się dostosowanie infrastruktury gospodarstw rolnych do wymagań określonych w Programie, tj. realizacji inwestycji w zakresie budowy urządzeń do przechowywania nawozów naturalnych, a także wykonania bilansu azotu i planu nawożenia azotem</w:t>
      </w:r>
      <w:r>
        <w:rPr>
          <w:rFonts w:asciiTheme="minorHAnsi" w:hAnsiTheme="minorHAnsi" w:cstheme="minorHAnsi"/>
          <w:color w:val="1B1B1B"/>
          <w:shd w:val="clear" w:color="auto" w:fill="FFFFFF"/>
        </w:rPr>
        <w:t>.</w:t>
      </w:r>
    </w:p>
    <w:p w:rsidR="008A4F32" w:rsidRPr="00D9405E" w:rsidRDefault="00D9405E" w:rsidP="00763B93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b/>
          <w:color w:val="1B1B1B"/>
        </w:rPr>
      </w:pPr>
      <w:r w:rsidRPr="00D9405E">
        <w:rPr>
          <w:rFonts w:asciiTheme="minorHAnsi" w:hAnsiTheme="minorHAnsi" w:cstheme="minorHAnsi"/>
          <w:b/>
          <w:color w:val="1B1B1B"/>
        </w:rPr>
        <w:t>Informacja Strony ukraińskiej: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 xml:space="preserve">Dyrektywa Rady Wspólnoty Europejskiej 91/676/EWG z dnia 12 grudnia 1991 r. dotycząca ochrony wód (zwana dalej „Dyrektywą Azotanową”) jest jedną z dyrektyw UE, które mają zostać wdrożone w ramach realizacji Układu o stowarzyszeniu między Ukrainą, z jednej strony, a Unią Europejską, Europejską Wspólnotą Energii Atomowej i ich państwami członkowskimi, </w:t>
      </w:r>
      <w:r w:rsidR="00763B93">
        <w:rPr>
          <w:rFonts w:asciiTheme="minorHAnsi" w:hAnsiTheme="minorHAnsi" w:cstheme="minorHAnsi"/>
          <w:color w:val="1B1B1B"/>
        </w:rPr>
        <w:br/>
      </w:r>
      <w:r w:rsidRPr="00351CDF">
        <w:rPr>
          <w:rFonts w:asciiTheme="minorHAnsi" w:hAnsiTheme="minorHAnsi" w:cstheme="minorHAnsi"/>
          <w:color w:val="1B1B1B"/>
        </w:rPr>
        <w:t>z drugiej strony (zwanego dalej „Układem o stowarzyszeniu”), w szczególności w zakresie załącznika XXX.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lastRenderedPageBreak/>
        <w:t xml:space="preserve">Zgodnie ze Strategią wodną Ukrainy do 2050 r., zatwierdzoną uchwałą Rady Ministrów Ukrainy z dnia 9 grudnia 2022 r. nr 1134-r, proces zbliżenia do Dyrektywy Azotanowej nie spełnia obecnie terminów określonych w planie działania na rzecz wdrożenia Układu </w:t>
      </w:r>
      <w:r w:rsidR="00763B93">
        <w:rPr>
          <w:rFonts w:asciiTheme="minorHAnsi" w:hAnsiTheme="minorHAnsi" w:cstheme="minorHAnsi"/>
          <w:color w:val="1B1B1B"/>
        </w:rPr>
        <w:br/>
      </w:r>
      <w:r w:rsidRPr="00351CDF">
        <w:rPr>
          <w:rFonts w:asciiTheme="minorHAnsi" w:hAnsiTheme="minorHAnsi" w:cstheme="minorHAnsi"/>
          <w:color w:val="1B1B1B"/>
        </w:rPr>
        <w:t>o stowarzyszeniu.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Strategia wodna Ukrainy określa środki mające na celu zapobieganie zanieczyszczeniom ze źródeł rolniczych poprzez: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 xml:space="preserve">- zapewnienie zbliżenia prawa Ukrainy do prawa UE, wdrożenie Dyrektywy Azotanowej, </w:t>
      </w:r>
      <w:r w:rsidR="00763B93">
        <w:rPr>
          <w:rFonts w:asciiTheme="minorHAnsi" w:hAnsiTheme="minorHAnsi" w:cstheme="minorHAnsi"/>
          <w:color w:val="1B1B1B"/>
        </w:rPr>
        <w:br/>
      </w:r>
      <w:r w:rsidRPr="00351CDF">
        <w:rPr>
          <w:rFonts w:asciiTheme="minorHAnsi" w:hAnsiTheme="minorHAnsi" w:cstheme="minorHAnsi"/>
          <w:color w:val="1B1B1B"/>
        </w:rPr>
        <w:t xml:space="preserve">w szczególności zatwierdzenie (określenie) obszarów wrażliwych na akumulację azotanów, </w:t>
      </w:r>
      <w:r w:rsidR="00763B93">
        <w:rPr>
          <w:rFonts w:asciiTheme="minorHAnsi" w:hAnsiTheme="minorHAnsi" w:cstheme="minorHAnsi"/>
          <w:color w:val="1B1B1B"/>
        </w:rPr>
        <w:br/>
      </w:r>
      <w:r w:rsidRPr="00351CDF">
        <w:rPr>
          <w:rFonts w:asciiTheme="minorHAnsi" w:hAnsiTheme="minorHAnsi" w:cstheme="minorHAnsi"/>
          <w:color w:val="1B1B1B"/>
        </w:rPr>
        <w:t>a także ich regulację normatywno-prawną w celu uregulowania rozproszonego zanieczyszczenia wód; zasad zapewnienia żyzności gleby i stosowania niektórych agrochemikaliów; planu działań na rzecz stopniowego zmniejszania poziomu zanieczyszczenia wód powierzchniowych i gruntowych azotanami ze źródeł rolniczych, w szczególności obszarów wrażliwych na akumulację azotanów ze źródeł rolniczych; obowiązkowych planów dla obszarów wrażliwych na akumulację azotanów ze źródeł rolniczych.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Ocena ryzyka wpływu antropogenicznego na stan wód wykazała, że 30% jednolitych części wód powierzchniowych jest zagrożonych zanieczyszczeniem rozproszonym.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Ministerstwo Polityki Rolnej i Żywności Ukrainy jest odpowiedzialne za wdrażanie wymogów Dyrektywy Azotanowej. Ministerstwo Ochrony Środowiska i Zasobów Naturalnych Ukrainy jest współwykonawcą działań.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W celu wdrożenia przepisów Dyrektywy Azotanowej w Ukrainie powołano międzyresortową grupę roboczą.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Do tej pory w Ukrainie opracowano następujące rozwiązania: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- zatwierdzono Metodologię określania obszarów wrażliwych na akumulację azotanów</w:t>
      </w:r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- zatwierdzono Zasady zapewniania żyzności gleby i ich stosowania.</w:t>
      </w:r>
      <w:bookmarkStart w:id="0" w:name="_GoBack"/>
      <w:bookmarkEnd w:id="0"/>
    </w:p>
    <w:p w:rsidR="00351CDF" w:rsidRPr="00351CDF" w:rsidRDefault="00351CDF" w:rsidP="00763B93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  <w:r w:rsidRPr="00351CDF">
        <w:rPr>
          <w:rFonts w:asciiTheme="minorHAnsi" w:hAnsiTheme="minorHAnsi" w:cstheme="minorHAnsi"/>
          <w:color w:val="1B1B1B"/>
        </w:rPr>
        <w:t>Rozważane jest uzgodnienie i podjęcie decyzji w sprawie identyfikacji obszarów podatnych na akumulację azotanów lub uznanie całego terytorium Ukrainy za terytorium podatne na zanieczyszczenie azotanami, zgodnie z zaleceniami ekspertów projektu EU4Environment: Water and Data.</w:t>
      </w:r>
    </w:p>
    <w:p w:rsidR="00631582" w:rsidRDefault="00631582" w:rsidP="00631582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</w:p>
    <w:p w:rsidR="00631582" w:rsidRDefault="00631582" w:rsidP="00631582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</w:p>
    <w:p w:rsidR="00631582" w:rsidRDefault="00631582" w:rsidP="00631582">
      <w:pPr>
        <w:pStyle w:val="Normalny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Theme="minorHAnsi" w:hAnsiTheme="minorHAnsi" w:cstheme="minorHAnsi"/>
          <w:color w:val="1B1B1B"/>
        </w:rPr>
      </w:pPr>
    </w:p>
    <w:p w:rsidR="00631582" w:rsidRPr="00631582" w:rsidRDefault="00631582">
      <w:pPr>
        <w:jc w:val="both"/>
        <w:rPr>
          <w:rFonts w:cstheme="minorHAnsi"/>
        </w:rPr>
      </w:pPr>
    </w:p>
    <w:sectPr w:rsidR="00631582" w:rsidRPr="00631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F0236"/>
    <w:multiLevelType w:val="multilevel"/>
    <w:tmpl w:val="0C72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82"/>
    <w:rsid w:val="00351CDF"/>
    <w:rsid w:val="00432AD5"/>
    <w:rsid w:val="00631582"/>
    <w:rsid w:val="00763B93"/>
    <w:rsid w:val="007A22D6"/>
    <w:rsid w:val="008A4F32"/>
    <w:rsid w:val="00D9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D2233-93ED-4051-A7E2-57152591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31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315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ap.sejm.gov.pl/isap.nsf/DocDetails.xsp?id=WDU201700015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Delis-Szeląg Katarzyna</dc:creator>
  <cp:keywords/>
  <dc:description/>
  <cp:lastModifiedBy>Delis-Szeląg Katarzyna</cp:lastModifiedBy>
  <cp:revision>2</cp:revision>
  <dcterms:created xsi:type="dcterms:W3CDTF">2023-11-02T13:49:00Z</dcterms:created>
  <dcterms:modified xsi:type="dcterms:W3CDTF">2023-11-02T13:49:00Z</dcterms:modified>
</cp:coreProperties>
</file>